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EC6E8E3" w14:textId="77777777" w:rsidR="009A3524" w:rsidRDefault="009A3524" w:rsidP="009A3524">
      <w:pPr>
        <w:pStyle w:val="Header"/>
        <w:jc w:val="center"/>
        <w:rPr>
          <w:rFonts w:ascii="Tahoma" w:hAnsi="Tahoma" w:cs="Tahoma"/>
          <w:b/>
          <w:spacing w:val="-5"/>
          <w:sz w:val="28"/>
          <w:szCs w:val="28"/>
        </w:rPr>
      </w:pPr>
      <w:r>
        <w:rPr>
          <w:rFonts w:ascii="Tahoma" w:hAnsi="Tahoma" w:cs="Tahoma"/>
          <w:b/>
          <w:spacing w:val="-5"/>
          <w:sz w:val="28"/>
          <w:szCs w:val="28"/>
        </w:rPr>
        <w:t>VOTE BULLETIN</w:t>
      </w:r>
    </w:p>
    <w:p w14:paraId="3FE13BF5" w14:textId="77777777" w:rsidR="009A3524" w:rsidRDefault="009A3524" w:rsidP="009A3524">
      <w:pPr>
        <w:pStyle w:val="Header"/>
        <w:jc w:val="center"/>
        <w:rPr>
          <w:rFonts w:ascii="Tahoma" w:hAnsi="Tahoma" w:cs="Tahoma"/>
          <w:b/>
          <w:spacing w:val="-5"/>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3EC60AA2" w14:textId="7D83851E" w:rsidR="009A3524" w:rsidRDefault="009A3524" w:rsidP="009A3524">
      <w:pPr>
        <w:pStyle w:val="Body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AC05DC">
        <w:rPr>
          <w:rFonts w:ascii="Tahoma" w:hAnsi="Tahoma" w:cs="Tahoma"/>
        </w:rPr>
        <w:t>2</w:t>
      </w:r>
      <w:r w:rsidR="0039498A">
        <w:rPr>
          <w:rFonts w:ascii="Tahoma" w:hAnsi="Tahoma" w:cs="Tahoma"/>
        </w:rPr>
        <w:t>2</w:t>
      </w:r>
      <w:r>
        <w:rPr>
          <w:rFonts w:ascii="Tahoma" w:hAnsi="Tahoma" w:cs="Tahoma"/>
        </w:rPr>
        <w:t>.</w:t>
      </w:r>
      <w:r w:rsidR="0039498A">
        <w:rPr>
          <w:rFonts w:ascii="Tahoma" w:hAnsi="Tahoma" w:cs="Tahoma"/>
        </w:rPr>
        <w:t>04</w:t>
      </w:r>
      <w:r>
        <w:rPr>
          <w:rFonts w:ascii="Tahoma" w:hAnsi="Tahoma" w:cs="Tahoma"/>
        </w:rPr>
        <w:t>.202</w:t>
      </w:r>
      <w:r w:rsidR="0039498A">
        <w:rPr>
          <w:rFonts w:ascii="Tahoma" w:hAnsi="Tahoma" w:cs="Tahoma"/>
        </w:rPr>
        <w:t>4</w:t>
      </w:r>
      <w:r>
        <w:rPr>
          <w:rFonts w:ascii="Tahoma" w:hAnsi="Tahoma" w:cs="Tahoma"/>
        </w:rPr>
        <w:t>, 1</w:t>
      </w:r>
      <w:r w:rsidR="00E36099">
        <w:rPr>
          <w:rFonts w:ascii="Tahoma" w:hAnsi="Tahoma" w:cs="Tahoma"/>
        </w:rPr>
        <w:t>0</w:t>
      </w:r>
      <w:r>
        <w:rPr>
          <w:rFonts w:ascii="Tahoma" w:hAnsi="Tahoma" w:cs="Tahoma"/>
        </w:rPr>
        <w:t xml:space="preserve"> o’clock, at society’s headquarter, concluded for the first convocation, or in </w:t>
      </w:r>
      <w:r w:rsidR="00AC05DC">
        <w:rPr>
          <w:rFonts w:ascii="Tahoma" w:hAnsi="Tahoma" w:cs="Tahoma"/>
        </w:rPr>
        <w:t>2</w:t>
      </w:r>
      <w:r w:rsidR="0039498A">
        <w:rPr>
          <w:rFonts w:ascii="Tahoma" w:hAnsi="Tahoma" w:cs="Tahoma"/>
        </w:rPr>
        <w:t>3</w:t>
      </w:r>
      <w:r>
        <w:rPr>
          <w:rFonts w:ascii="Tahoma" w:hAnsi="Tahoma" w:cs="Tahoma"/>
        </w:rPr>
        <w:t>.</w:t>
      </w:r>
      <w:r w:rsidR="00E36099">
        <w:rPr>
          <w:rFonts w:ascii="Tahoma" w:hAnsi="Tahoma" w:cs="Tahoma"/>
        </w:rPr>
        <w:t>04</w:t>
      </w:r>
      <w:r>
        <w:rPr>
          <w:rFonts w:ascii="Tahoma" w:hAnsi="Tahoma" w:cs="Tahoma"/>
        </w:rPr>
        <w:t>.202</w:t>
      </w:r>
      <w:r w:rsidR="0039498A">
        <w:rPr>
          <w:rFonts w:ascii="Tahoma" w:hAnsi="Tahoma" w:cs="Tahoma"/>
        </w:rPr>
        <w:t>4</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 I exert my vote right afferent to my holdings registered at reference date in Shareholders Registry, as follows</w:t>
      </w:r>
      <w:r>
        <w:rPr>
          <w:rFonts w:ascii="Tahoma" w:hAnsi="Tahoma" w:cs="Tahoma"/>
          <w:szCs w:val="24"/>
          <w:lang w:val="ro-RO"/>
        </w:rPr>
        <w:t>:</w:t>
      </w:r>
    </w:p>
    <w:p w14:paraId="4E92C084" w14:textId="77777777" w:rsidR="009A3524" w:rsidRDefault="009A3524" w:rsidP="009A3524">
      <w:pPr>
        <w:pStyle w:val="BodyText"/>
        <w:spacing w:after="0"/>
        <w:ind w:firstLine="763"/>
        <w:rPr>
          <w:rFonts w:ascii="Tahoma" w:hAnsi="Tahoma" w:cs="Tahoma"/>
          <w:szCs w:val="24"/>
          <w:lang w:val="ro-RO"/>
        </w:rPr>
      </w:pPr>
    </w:p>
    <w:p w14:paraId="6EF075B8" w14:textId="77777777" w:rsidR="009A3524" w:rsidRDefault="009A3524" w:rsidP="009A3524">
      <w:pPr>
        <w:pStyle w:val="BodyText"/>
        <w:spacing w:after="0"/>
        <w:ind w:firstLine="763"/>
        <w:rPr>
          <w:rFonts w:ascii="Tahoma" w:hAnsi="Tahoma" w:cs="Tahoma"/>
          <w:szCs w:val="24"/>
          <w:lang w:val="ro-RO"/>
        </w:rPr>
      </w:pPr>
    </w:p>
    <w:tbl>
      <w:tblPr>
        <w:tblStyle w:val="TableGrid"/>
        <w:tblW w:w="10345" w:type="dxa"/>
        <w:tblInd w:w="360" w:type="dxa"/>
        <w:tblLayout w:type="fixed"/>
        <w:tblLook w:val="04A0" w:firstRow="1" w:lastRow="0" w:firstColumn="1" w:lastColumn="0" w:noHBand="0" w:noVBand="1"/>
      </w:tblPr>
      <w:tblGrid>
        <w:gridCol w:w="7015"/>
        <w:gridCol w:w="630"/>
        <w:gridCol w:w="1170"/>
        <w:gridCol w:w="1530"/>
      </w:tblGrid>
      <w:tr w:rsidR="00E36099" w:rsidRPr="00960720" w14:paraId="56F8D6CB" w14:textId="77777777" w:rsidTr="00AF5EA6">
        <w:tc>
          <w:tcPr>
            <w:tcW w:w="7015" w:type="dxa"/>
          </w:tcPr>
          <w:p w14:paraId="19E11805" w14:textId="7B3A2411" w:rsidR="00E36099" w:rsidRPr="00960720" w:rsidRDefault="00E36099" w:rsidP="00E36099">
            <w:pPr>
              <w:pStyle w:val="BodyText"/>
              <w:snapToGrid w:val="0"/>
              <w:spacing w:before="120" w:after="120"/>
              <w:jc w:val="center"/>
              <w:rPr>
                <w:rFonts w:ascii="Tahoma" w:hAnsi="Tahoma" w:cs="Tahoma"/>
              </w:rPr>
            </w:pPr>
            <w:r w:rsidRPr="00695D13">
              <w:rPr>
                <w:rFonts w:ascii="Times New Roman" w:hAnsi="Times New Roman"/>
              </w:rPr>
              <w:t>Points on the agenda to be voted on General Meeting of Shareholders</w:t>
            </w:r>
          </w:p>
        </w:tc>
        <w:tc>
          <w:tcPr>
            <w:tcW w:w="630" w:type="dxa"/>
          </w:tcPr>
          <w:p w14:paraId="6B633B2D" w14:textId="45C6B1F3" w:rsidR="00E36099" w:rsidRPr="00794F89" w:rsidRDefault="00E36099" w:rsidP="00E3609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1170" w:type="dxa"/>
          </w:tcPr>
          <w:p w14:paraId="58E21280" w14:textId="56D690D9" w:rsidR="00E36099" w:rsidRPr="00794F89" w:rsidRDefault="00E36099" w:rsidP="00E3609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530" w:type="dxa"/>
          </w:tcPr>
          <w:p w14:paraId="73EC9ABA" w14:textId="415C201E" w:rsidR="00E36099" w:rsidRPr="00794F89" w:rsidRDefault="00E36099" w:rsidP="00E3609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39498A" w:rsidRPr="00960720" w14:paraId="765CC2C7" w14:textId="77777777" w:rsidTr="00AF5EA6">
        <w:tc>
          <w:tcPr>
            <w:tcW w:w="7015" w:type="dxa"/>
          </w:tcPr>
          <w:p w14:paraId="23550217" w14:textId="0ADD86AA" w:rsidR="0039498A" w:rsidRPr="002570F4" w:rsidRDefault="0039498A" w:rsidP="0039498A">
            <w:pPr>
              <w:tabs>
                <w:tab w:val="left" w:pos="720"/>
                <w:tab w:val="left" w:pos="1440"/>
                <w:tab w:val="left" w:leader="dot" w:pos="2579"/>
              </w:tabs>
              <w:contextualSpacing/>
              <w:jc w:val="both"/>
              <w:rPr>
                <w:rStyle w:val="hps"/>
                <w:rFonts w:ascii="Tahoma" w:hAnsi="Tahoma" w:cs="Tahoma"/>
                <w:b/>
                <w:bCs/>
                <w:sz w:val="18"/>
                <w:szCs w:val="18"/>
                <w:lang w:val="en"/>
              </w:rPr>
            </w:pPr>
            <w:r>
              <w:rPr>
                <w:rStyle w:val="hps"/>
                <w:rFonts w:ascii="Times New Roman" w:hAnsi="Times New Roman" w:cs="Times New Roman"/>
                <w:sz w:val="20"/>
                <w:szCs w:val="20"/>
                <w:lang w:val="en"/>
              </w:rPr>
              <w:t>1.</w:t>
            </w:r>
            <w:r w:rsidRPr="00840B2E">
              <w:rPr>
                <w:rStyle w:val="hps"/>
                <w:rFonts w:ascii="Times New Roman" w:hAnsi="Times New Roman" w:cs="Times New Roman"/>
                <w:sz w:val="20"/>
                <w:szCs w:val="20"/>
                <w:lang w:val="en"/>
              </w:rPr>
              <w:t>Election of the meeting secretariat consisting of three members, respectively Mrs. Maria Carstoiu, Mrs. Carmen Incă and Mr. Horia Ciorecan, shareholders with identification data available at the company's headquarters, in charge of verifying the presence of shareholders, fulfilling the formalities required by law and the constitutive act for holding the general assembly, counting the votes cast during the general assembly meeting and drawing up the minutes of the meeting</w:t>
            </w:r>
            <w:r>
              <w:rPr>
                <w:rStyle w:val="hps"/>
                <w:rFonts w:ascii="Times New Roman" w:hAnsi="Times New Roman" w:cs="Times New Roman"/>
                <w:sz w:val="20"/>
                <w:szCs w:val="20"/>
                <w:lang w:val="en"/>
              </w:rPr>
              <w:t>;</w:t>
            </w:r>
          </w:p>
        </w:tc>
        <w:tc>
          <w:tcPr>
            <w:tcW w:w="630" w:type="dxa"/>
          </w:tcPr>
          <w:p w14:paraId="0F3DE5C1" w14:textId="13094E35" w:rsidR="0039498A" w:rsidRPr="00960720" w:rsidRDefault="0039498A" w:rsidP="0039498A">
            <w:pPr>
              <w:pStyle w:val="Body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1170" w:type="dxa"/>
          </w:tcPr>
          <w:p w14:paraId="54A3D5D5" w14:textId="77777777" w:rsidR="0039498A" w:rsidRPr="00960720" w:rsidRDefault="0039498A" w:rsidP="0039498A">
            <w:pPr>
              <w:pStyle w:val="BodyText"/>
              <w:snapToGrid w:val="0"/>
              <w:spacing w:before="120" w:after="120"/>
              <w:jc w:val="center"/>
              <w:rPr>
                <w:rFonts w:ascii="Tahoma" w:hAnsi="Tahoma" w:cs="Tahoma"/>
                <w:lang w:val="en"/>
              </w:rPr>
            </w:pPr>
          </w:p>
        </w:tc>
        <w:tc>
          <w:tcPr>
            <w:tcW w:w="1530" w:type="dxa"/>
          </w:tcPr>
          <w:p w14:paraId="2C4F397A" w14:textId="77777777" w:rsidR="0039498A" w:rsidRPr="00960720" w:rsidRDefault="0039498A" w:rsidP="0039498A">
            <w:pPr>
              <w:pStyle w:val="BodyText"/>
              <w:snapToGrid w:val="0"/>
              <w:spacing w:before="120" w:after="120"/>
              <w:jc w:val="center"/>
              <w:rPr>
                <w:rFonts w:ascii="Tahoma" w:hAnsi="Tahoma" w:cs="Tahoma"/>
                <w:lang w:val="en"/>
              </w:rPr>
            </w:pPr>
          </w:p>
        </w:tc>
      </w:tr>
      <w:tr w:rsidR="0039498A" w:rsidRPr="00960720" w14:paraId="60268BA1" w14:textId="77777777" w:rsidTr="00AF5EA6">
        <w:tc>
          <w:tcPr>
            <w:tcW w:w="7015" w:type="dxa"/>
          </w:tcPr>
          <w:p w14:paraId="5FA934BE" w14:textId="6F83D0AB" w:rsidR="0039498A" w:rsidRPr="002570F4" w:rsidRDefault="0039498A" w:rsidP="0039498A">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z w:val="20"/>
                <w:szCs w:val="20"/>
                <w:lang w:val="en"/>
              </w:rPr>
              <w:t>2.Presentation of the report on the results of the revaluation of tangible assets from the ship group. Approval of recording the differences from the revaluation in the net amount of 269,048.14 lei in the accounting records on 12.31.2023;</w:t>
            </w:r>
          </w:p>
        </w:tc>
        <w:tc>
          <w:tcPr>
            <w:tcW w:w="630" w:type="dxa"/>
          </w:tcPr>
          <w:p w14:paraId="79593EF4" w14:textId="77777777" w:rsidR="0039498A" w:rsidRPr="00960720" w:rsidRDefault="0039498A" w:rsidP="0039498A">
            <w:pPr>
              <w:pStyle w:val="BodyText"/>
              <w:snapToGrid w:val="0"/>
              <w:spacing w:before="120" w:after="120"/>
              <w:jc w:val="center"/>
              <w:rPr>
                <w:rFonts w:ascii="Tahoma" w:hAnsi="Tahoma" w:cs="Tahoma"/>
                <w:lang w:val="it-IT"/>
              </w:rPr>
            </w:pPr>
          </w:p>
        </w:tc>
        <w:tc>
          <w:tcPr>
            <w:tcW w:w="1170" w:type="dxa"/>
          </w:tcPr>
          <w:p w14:paraId="6FD0FFFD" w14:textId="77777777" w:rsidR="0039498A" w:rsidRPr="00960720" w:rsidRDefault="0039498A" w:rsidP="0039498A">
            <w:pPr>
              <w:pStyle w:val="BodyText"/>
              <w:snapToGrid w:val="0"/>
              <w:spacing w:before="120" w:after="120"/>
              <w:jc w:val="center"/>
              <w:rPr>
                <w:rFonts w:ascii="Tahoma" w:hAnsi="Tahoma" w:cs="Tahoma"/>
                <w:lang w:val="it-IT"/>
              </w:rPr>
            </w:pPr>
          </w:p>
        </w:tc>
        <w:tc>
          <w:tcPr>
            <w:tcW w:w="1530" w:type="dxa"/>
          </w:tcPr>
          <w:p w14:paraId="3FF975BC" w14:textId="77777777" w:rsidR="0039498A" w:rsidRPr="00960720" w:rsidRDefault="0039498A" w:rsidP="0039498A">
            <w:pPr>
              <w:pStyle w:val="BodyText"/>
              <w:snapToGrid w:val="0"/>
              <w:spacing w:before="120" w:after="120"/>
              <w:jc w:val="center"/>
              <w:rPr>
                <w:rFonts w:ascii="Tahoma" w:hAnsi="Tahoma" w:cs="Tahoma"/>
                <w:lang w:val="it-IT"/>
              </w:rPr>
            </w:pPr>
          </w:p>
        </w:tc>
      </w:tr>
      <w:tr w:rsidR="0039498A" w:rsidRPr="00960720" w14:paraId="46000A14" w14:textId="77777777" w:rsidTr="00AF5EA6">
        <w:tc>
          <w:tcPr>
            <w:tcW w:w="7015" w:type="dxa"/>
          </w:tcPr>
          <w:p w14:paraId="3C7E580B" w14:textId="2EE910B4" w:rsidR="0039498A" w:rsidRPr="002570F4" w:rsidRDefault="0039498A" w:rsidP="0039498A">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pacing w:val="-5"/>
                <w:sz w:val="20"/>
                <w:szCs w:val="20"/>
                <w:lang w:val="en"/>
              </w:rPr>
              <w:t>3.Presentation, discussion and approval of the annual financial statements, related to the financial year 2023, drawn up in accordance with the International Financial Reporting Standards, based on the Management Report of the Board of Directors and the Report of the statutory financial auditor;</w:t>
            </w:r>
          </w:p>
        </w:tc>
        <w:tc>
          <w:tcPr>
            <w:tcW w:w="630" w:type="dxa"/>
          </w:tcPr>
          <w:p w14:paraId="56047A88" w14:textId="77777777" w:rsidR="0039498A" w:rsidRPr="00960720" w:rsidRDefault="0039498A" w:rsidP="0039498A">
            <w:pPr>
              <w:pStyle w:val="BodyText"/>
              <w:snapToGrid w:val="0"/>
              <w:spacing w:before="120" w:after="120"/>
              <w:jc w:val="center"/>
              <w:rPr>
                <w:rFonts w:ascii="Tahoma" w:hAnsi="Tahoma" w:cs="Tahoma"/>
                <w:lang w:val="it-IT"/>
              </w:rPr>
            </w:pPr>
          </w:p>
        </w:tc>
        <w:tc>
          <w:tcPr>
            <w:tcW w:w="1170" w:type="dxa"/>
          </w:tcPr>
          <w:p w14:paraId="04DD99C3" w14:textId="77777777" w:rsidR="0039498A" w:rsidRPr="00960720" w:rsidRDefault="0039498A" w:rsidP="0039498A">
            <w:pPr>
              <w:pStyle w:val="BodyText"/>
              <w:snapToGrid w:val="0"/>
              <w:spacing w:before="120" w:after="120"/>
              <w:jc w:val="center"/>
              <w:rPr>
                <w:rFonts w:ascii="Tahoma" w:hAnsi="Tahoma" w:cs="Tahoma"/>
                <w:lang w:val="it-IT"/>
              </w:rPr>
            </w:pPr>
          </w:p>
        </w:tc>
        <w:tc>
          <w:tcPr>
            <w:tcW w:w="1530" w:type="dxa"/>
          </w:tcPr>
          <w:p w14:paraId="446085F6" w14:textId="77777777" w:rsidR="0039498A" w:rsidRPr="00960720" w:rsidRDefault="0039498A" w:rsidP="0039498A">
            <w:pPr>
              <w:pStyle w:val="BodyText"/>
              <w:snapToGrid w:val="0"/>
              <w:spacing w:before="120" w:after="120"/>
              <w:jc w:val="center"/>
              <w:rPr>
                <w:rFonts w:ascii="Tahoma" w:hAnsi="Tahoma" w:cs="Tahoma"/>
                <w:lang w:val="it-IT"/>
              </w:rPr>
            </w:pPr>
          </w:p>
        </w:tc>
      </w:tr>
      <w:tr w:rsidR="0039498A" w:rsidRPr="00960720" w14:paraId="7F5995F1" w14:textId="77777777" w:rsidTr="00AF5EA6">
        <w:tc>
          <w:tcPr>
            <w:tcW w:w="7015" w:type="dxa"/>
          </w:tcPr>
          <w:p w14:paraId="73B892B2" w14:textId="3E32A87A" w:rsidR="0039498A" w:rsidRPr="002570F4" w:rsidRDefault="0039498A" w:rsidP="0039498A">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pacing w:val="-5"/>
                <w:sz w:val="20"/>
                <w:szCs w:val="20"/>
                <w:lang w:val="en"/>
              </w:rPr>
              <w:t>4.The approval that the amount of 1,367,084.18 lei be used to cover the net accounting loss from the carried forward result, representing the surplus made from revaluation reserves;</w:t>
            </w:r>
          </w:p>
        </w:tc>
        <w:tc>
          <w:tcPr>
            <w:tcW w:w="630" w:type="dxa"/>
          </w:tcPr>
          <w:p w14:paraId="0AE0A470" w14:textId="77777777" w:rsidR="0039498A" w:rsidRPr="00960720" w:rsidRDefault="0039498A" w:rsidP="0039498A">
            <w:pPr>
              <w:pStyle w:val="BodyText"/>
              <w:snapToGrid w:val="0"/>
              <w:spacing w:before="120" w:after="120"/>
              <w:jc w:val="center"/>
              <w:rPr>
                <w:rFonts w:ascii="Tahoma" w:hAnsi="Tahoma" w:cs="Tahoma"/>
                <w:lang w:val="it-IT"/>
              </w:rPr>
            </w:pPr>
          </w:p>
        </w:tc>
        <w:tc>
          <w:tcPr>
            <w:tcW w:w="1170" w:type="dxa"/>
          </w:tcPr>
          <w:p w14:paraId="67111435" w14:textId="77777777" w:rsidR="0039498A" w:rsidRPr="00960720" w:rsidRDefault="0039498A" w:rsidP="0039498A">
            <w:pPr>
              <w:pStyle w:val="BodyText"/>
              <w:snapToGrid w:val="0"/>
              <w:spacing w:before="120" w:after="120"/>
              <w:jc w:val="center"/>
              <w:rPr>
                <w:rFonts w:ascii="Tahoma" w:hAnsi="Tahoma" w:cs="Tahoma"/>
                <w:lang w:val="it-IT"/>
              </w:rPr>
            </w:pPr>
          </w:p>
        </w:tc>
        <w:tc>
          <w:tcPr>
            <w:tcW w:w="1530" w:type="dxa"/>
          </w:tcPr>
          <w:p w14:paraId="154125F3" w14:textId="77777777" w:rsidR="0039498A" w:rsidRPr="00960720" w:rsidRDefault="0039498A" w:rsidP="0039498A">
            <w:pPr>
              <w:pStyle w:val="BodyText"/>
              <w:snapToGrid w:val="0"/>
              <w:spacing w:before="120" w:after="120"/>
              <w:jc w:val="center"/>
              <w:rPr>
                <w:rFonts w:ascii="Tahoma" w:hAnsi="Tahoma" w:cs="Tahoma"/>
                <w:lang w:val="it-IT"/>
              </w:rPr>
            </w:pPr>
          </w:p>
        </w:tc>
      </w:tr>
      <w:tr w:rsidR="0039498A" w:rsidRPr="00960720" w14:paraId="76E00276" w14:textId="77777777" w:rsidTr="00AF5EA6">
        <w:tc>
          <w:tcPr>
            <w:tcW w:w="7015" w:type="dxa"/>
          </w:tcPr>
          <w:p w14:paraId="3876170E" w14:textId="77777777" w:rsidR="0039498A" w:rsidRPr="00840B2E" w:rsidRDefault="0039498A" w:rsidP="0039498A">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5.Approval of the distribution of the net profit achieved in 2023. The Board of Directors proposes that the net profit in the amount of 3,453,687.23 lei be distributed to the following destinations:</w:t>
            </w:r>
          </w:p>
          <w:p w14:paraId="255F398C" w14:textId="77777777" w:rsidR="0039498A" w:rsidRPr="00840B2E" w:rsidRDefault="0039498A" w:rsidP="0039498A">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 xml:space="preserve"> </w:t>
            </w:r>
            <w:r w:rsidRPr="00840B2E">
              <w:rPr>
                <w:rStyle w:val="hps"/>
                <w:rFonts w:ascii="Times New Roman" w:hAnsi="Times New Roman" w:cs="Times New Roman"/>
                <w:spacing w:val="-5"/>
                <w:sz w:val="20"/>
                <w:szCs w:val="20"/>
                <w:lang w:val="en"/>
              </w:rPr>
              <w:tab/>
              <w:t>- 2,848,032.44 lei to cover the net accounting loss</w:t>
            </w:r>
          </w:p>
          <w:p w14:paraId="69ED9A16" w14:textId="512F71F2" w:rsidR="0039498A" w:rsidRPr="0008138C"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ab/>
              <w:t xml:space="preserve"> - 605,654.79 lei as own source of financing;</w:t>
            </w:r>
          </w:p>
        </w:tc>
        <w:tc>
          <w:tcPr>
            <w:tcW w:w="630" w:type="dxa"/>
          </w:tcPr>
          <w:p w14:paraId="5B3D1AAD"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52355323"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2C33BF5"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58E707C6" w14:textId="77777777" w:rsidTr="00AF5EA6">
        <w:tc>
          <w:tcPr>
            <w:tcW w:w="7015" w:type="dxa"/>
          </w:tcPr>
          <w:p w14:paraId="429A7F5A" w14:textId="243332B3" w:rsidR="0039498A" w:rsidRPr="0008138C"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6.Approval of the Revenue and Expenditure Budget and the investment program for the year 2024, according to the administrators' proposal;</w:t>
            </w:r>
          </w:p>
        </w:tc>
        <w:tc>
          <w:tcPr>
            <w:tcW w:w="630" w:type="dxa"/>
          </w:tcPr>
          <w:p w14:paraId="3C146F58"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77006007"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470DD4F"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64215834" w14:textId="77777777" w:rsidTr="00AF5EA6">
        <w:tc>
          <w:tcPr>
            <w:tcW w:w="7015" w:type="dxa"/>
          </w:tcPr>
          <w:p w14:paraId="4D6FFA3A" w14:textId="5B2CB213" w:rsidR="0039498A" w:rsidRPr="0008138C"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7.Presentation and submission for approval of the Remuneration Report for the 2023 financial year;</w:t>
            </w:r>
          </w:p>
        </w:tc>
        <w:tc>
          <w:tcPr>
            <w:tcW w:w="630" w:type="dxa"/>
          </w:tcPr>
          <w:p w14:paraId="5BDF5E68"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2335A5BB"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5C23CAA1"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610672CB" w14:textId="77777777" w:rsidTr="00AF5EA6">
        <w:tc>
          <w:tcPr>
            <w:tcW w:w="7015" w:type="dxa"/>
          </w:tcPr>
          <w:p w14:paraId="41C793A1" w14:textId="5CB873D1" w:rsidR="0039498A" w:rsidRPr="002570F4"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t>8.Discharge of administrators for the 2023 financial year;</w:t>
            </w:r>
          </w:p>
        </w:tc>
        <w:tc>
          <w:tcPr>
            <w:tcW w:w="630" w:type="dxa"/>
          </w:tcPr>
          <w:p w14:paraId="20774FCC"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1C3D0374"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BBA3169"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54085FB0" w14:textId="77777777" w:rsidTr="00AF5EA6">
        <w:tc>
          <w:tcPr>
            <w:tcW w:w="7015" w:type="dxa"/>
          </w:tcPr>
          <w:p w14:paraId="1AFA82CA" w14:textId="2B400EDD"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10.Discharge of administrators who were not reconfirmed by cumulative vote in the new Board of Directors for the activity carried out in the financial year of 2024;</w:t>
            </w:r>
          </w:p>
        </w:tc>
        <w:tc>
          <w:tcPr>
            <w:tcW w:w="630" w:type="dxa"/>
          </w:tcPr>
          <w:p w14:paraId="177840CC"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7B5A9B89"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5E0DD745"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63CB22B5" w14:textId="77777777" w:rsidTr="00AF5EA6">
        <w:tc>
          <w:tcPr>
            <w:tcW w:w="7015" w:type="dxa"/>
          </w:tcPr>
          <w:p w14:paraId="10B5E5E8" w14:textId="53870A60"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11.Approval of the fixed remuneration due to administrators for the financial year 2024, according to art. 19 (2) of the Constitutive Act, at the level approved by the shareholders for the financial year 2023;</w:t>
            </w:r>
          </w:p>
        </w:tc>
        <w:tc>
          <w:tcPr>
            <w:tcW w:w="630" w:type="dxa"/>
          </w:tcPr>
          <w:p w14:paraId="2D41A11E"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49CEB957"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1AA91659"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72F6621A" w14:textId="77777777" w:rsidTr="00AF5EA6">
        <w:tc>
          <w:tcPr>
            <w:tcW w:w="7015" w:type="dxa"/>
          </w:tcPr>
          <w:p w14:paraId="4FFD5682" w14:textId="7EA5F9C2"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12.Approval of the conclusion of the Administration Contract with the members of the Board of Administration;</w:t>
            </w:r>
          </w:p>
        </w:tc>
        <w:tc>
          <w:tcPr>
            <w:tcW w:w="630" w:type="dxa"/>
          </w:tcPr>
          <w:p w14:paraId="44EC8CD9"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41E42F95"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A023D4B"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06A9D597" w14:textId="77777777" w:rsidTr="00AF5EA6">
        <w:tc>
          <w:tcPr>
            <w:tcW w:w="7015" w:type="dxa"/>
          </w:tcPr>
          <w:p w14:paraId="4D311585" w14:textId="406B9577"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13.Approval of performance indicators and objectives for the financial year 2024, annex to the administration and mandate contract;</w:t>
            </w:r>
          </w:p>
        </w:tc>
        <w:tc>
          <w:tcPr>
            <w:tcW w:w="630" w:type="dxa"/>
          </w:tcPr>
          <w:p w14:paraId="6F13797D"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59289902"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0582D173"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33267CC9" w14:textId="77777777" w:rsidTr="00AF5EA6">
        <w:tc>
          <w:tcPr>
            <w:tcW w:w="7015" w:type="dxa"/>
          </w:tcPr>
          <w:p w14:paraId="18EC7119" w14:textId="7A51D829" w:rsidR="0039498A" w:rsidRPr="002570F4"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lastRenderedPageBreak/>
              <w:t>14.Appointment of Mr. Mircea Ion Sperdea for signing the Administration Contract with the members of the Board of Directors, as a conventional representative on behalf of the company;</w:t>
            </w:r>
          </w:p>
        </w:tc>
        <w:tc>
          <w:tcPr>
            <w:tcW w:w="630" w:type="dxa"/>
          </w:tcPr>
          <w:p w14:paraId="41BB8F98"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538086F2"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04C5CBC2"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14:paraId="43814473" w14:textId="77777777" w:rsidTr="00AF5EA6">
        <w:tc>
          <w:tcPr>
            <w:tcW w:w="7015" w:type="dxa"/>
          </w:tcPr>
          <w:p w14:paraId="30DE863F" w14:textId="77777777" w:rsidR="0039498A" w:rsidRPr="00840B2E" w:rsidRDefault="0039498A" w:rsidP="0039498A">
            <w:pPr>
              <w:pStyle w:val="BodyText"/>
              <w:tabs>
                <w:tab w:val="left" w:pos="360"/>
              </w:tabs>
              <w:suppressAutoHyphens/>
              <w:spacing w:after="0"/>
              <w:rPr>
                <w:rFonts w:ascii="Times New Roman" w:hAnsi="Times New Roman"/>
                <w:lang w:val="en"/>
              </w:rPr>
            </w:pPr>
            <w:r>
              <w:rPr>
                <w:rFonts w:ascii="Times New Roman" w:hAnsi="Times New Roman"/>
                <w:lang w:val="en"/>
              </w:rPr>
              <w:t>15.</w:t>
            </w:r>
            <w:r w:rsidRPr="00840B2E">
              <w:rPr>
                <w:rFonts w:ascii="Times New Roman" w:hAnsi="Times New Roman"/>
                <w:lang w:val="en"/>
              </w:rPr>
              <w:t xml:space="preserve">Approval of making in the financial year 2024 the accounting registration under "revenues" of     </w:t>
            </w:r>
          </w:p>
          <w:p w14:paraId="4F49DD5D" w14:textId="63D0E159" w:rsidR="0039498A" w:rsidRDefault="0039498A" w:rsidP="0039498A">
            <w:pPr>
              <w:pStyle w:val="BodyText"/>
              <w:tabs>
                <w:tab w:val="left" w:pos="720"/>
              </w:tabs>
              <w:spacing w:after="0"/>
              <w:rPr>
                <w:rFonts w:ascii="Tahoma" w:hAnsi="Tahoma" w:cs="Tahoma"/>
              </w:rPr>
            </w:pPr>
            <w:r w:rsidRPr="00840B2E">
              <w:rPr>
                <w:rFonts w:ascii="Times New Roman" w:hAnsi="Times New Roman"/>
                <w:lang w:val="en"/>
              </w:rPr>
              <w:t xml:space="preserve">dividends not collected for more than 3 years from the due date, for which the right to the dividend is extinguished by prescription, respectively the dividends related to the financial year 2019 existing in the balance as unpaid on 31.12.2023, in the amount of 67,446.42 </w:t>
            </w:r>
            <w:proofErr w:type="gramStart"/>
            <w:r w:rsidRPr="00840B2E">
              <w:rPr>
                <w:rFonts w:ascii="Times New Roman" w:hAnsi="Times New Roman"/>
                <w:lang w:val="en"/>
              </w:rPr>
              <w:t>lei;</w:t>
            </w:r>
            <w:proofErr w:type="gramEnd"/>
          </w:p>
        </w:tc>
        <w:tc>
          <w:tcPr>
            <w:tcW w:w="630" w:type="dxa"/>
          </w:tcPr>
          <w:p w14:paraId="5FBE0B21" w14:textId="77777777" w:rsidR="0039498A" w:rsidRDefault="0039498A" w:rsidP="0039498A">
            <w:pPr>
              <w:pStyle w:val="BodyText"/>
              <w:tabs>
                <w:tab w:val="left" w:pos="720"/>
              </w:tabs>
              <w:spacing w:after="0"/>
              <w:rPr>
                <w:rFonts w:ascii="Tahoma" w:hAnsi="Tahoma" w:cs="Tahoma"/>
              </w:rPr>
            </w:pPr>
          </w:p>
        </w:tc>
        <w:tc>
          <w:tcPr>
            <w:tcW w:w="1170" w:type="dxa"/>
          </w:tcPr>
          <w:p w14:paraId="18BDE2BB" w14:textId="77777777" w:rsidR="0039498A" w:rsidRDefault="0039498A" w:rsidP="0039498A">
            <w:pPr>
              <w:pStyle w:val="BodyText"/>
              <w:tabs>
                <w:tab w:val="left" w:pos="720"/>
              </w:tabs>
              <w:spacing w:after="0"/>
              <w:rPr>
                <w:rFonts w:ascii="Tahoma" w:hAnsi="Tahoma" w:cs="Tahoma"/>
              </w:rPr>
            </w:pPr>
          </w:p>
        </w:tc>
        <w:tc>
          <w:tcPr>
            <w:tcW w:w="1530" w:type="dxa"/>
          </w:tcPr>
          <w:p w14:paraId="47AFEF6F" w14:textId="77777777" w:rsidR="0039498A" w:rsidRDefault="0039498A" w:rsidP="0039498A">
            <w:pPr>
              <w:pStyle w:val="BodyText"/>
              <w:tabs>
                <w:tab w:val="left" w:pos="720"/>
              </w:tabs>
              <w:spacing w:after="0"/>
              <w:rPr>
                <w:rFonts w:ascii="Tahoma" w:hAnsi="Tahoma" w:cs="Tahoma"/>
              </w:rPr>
            </w:pPr>
          </w:p>
        </w:tc>
      </w:tr>
      <w:tr w:rsidR="0039498A" w14:paraId="59A1B744" w14:textId="77777777" w:rsidTr="00AF5EA6">
        <w:tc>
          <w:tcPr>
            <w:tcW w:w="7015" w:type="dxa"/>
          </w:tcPr>
          <w:p w14:paraId="512BC26C" w14:textId="5F61F197" w:rsidR="0039498A" w:rsidRDefault="0039498A" w:rsidP="0039498A">
            <w:pPr>
              <w:pStyle w:val="BodyText"/>
              <w:tabs>
                <w:tab w:val="left" w:pos="720"/>
              </w:tabs>
              <w:spacing w:after="0"/>
              <w:rPr>
                <w:rFonts w:ascii="Tahoma" w:hAnsi="Tahoma" w:cs="Tahoma"/>
              </w:rPr>
            </w:pPr>
            <w:r>
              <w:rPr>
                <w:rFonts w:ascii="Times New Roman" w:hAnsi="Times New Roman"/>
                <w:lang w:val="en"/>
              </w:rPr>
              <w:t>16.</w:t>
            </w:r>
            <w:r w:rsidRPr="00840B2E">
              <w:rPr>
                <w:rFonts w:ascii="Times New Roman" w:hAnsi="Times New Roman"/>
                <w:lang w:val="en"/>
              </w:rPr>
              <w:t xml:space="preserve">Approval of the date of July 2, </w:t>
            </w:r>
            <w:proofErr w:type="gramStart"/>
            <w:r w:rsidRPr="00840B2E">
              <w:rPr>
                <w:rFonts w:ascii="Times New Roman" w:hAnsi="Times New Roman"/>
                <w:lang w:val="en"/>
              </w:rPr>
              <w:t>2024</w:t>
            </w:r>
            <w:proofErr w:type="gramEnd"/>
            <w:r w:rsidRPr="00840B2E">
              <w:rPr>
                <w:rFonts w:ascii="Times New Roman" w:hAnsi="Times New Roman"/>
                <w:lang w:val="en"/>
              </w:rPr>
              <w:t xml:space="preserve"> as the registration date and of the ex-date of July 1, 2024 for the identification of the shareholders affected by the decision of the Ordinary General Meeting of Shareholders;</w:t>
            </w:r>
          </w:p>
        </w:tc>
        <w:tc>
          <w:tcPr>
            <w:tcW w:w="630" w:type="dxa"/>
          </w:tcPr>
          <w:p w14:paraId="16CE907D" w14:textId="77777777" w:rsidR="0039498A" w:rsidRDefault="0039498A" w:rsidP="0039498A">
            <w:pPr>
              <w:pStyle w:val="BodyText"/>
              <w:tabs>
                <w:tab w:val="left" w:pos="720"/>
              </w:tabs>
              <w:spacing w:after="0"/>
              <w:rPr>
                <w:rFonts w:ascii="Tahoma" w:hAnsi="Tahoma" w:cs="Tahoma"/>
              </w:rPr>
            </w:pPr>
          </w:p>
        </w:tc>
        <w:tc>
          <w:tcPr>
            <w:tcW w:w="1170" w:type="dxa"/>
          </w:tcPr>
          <w:p w14:paraId="0D89CA6E" w14:textId="77777777" w:rsidR="0039498A" w:rsidRDefault="0039498A" w:rsidP="0039498A">
            <w:pPr>
              <w:pStyle w:val="BodyText"/>
              <w:tabs>
                <w:tab w:val="left" w:pos="720"/>
              </w:tabs>
              <w:spacing w:after="0"/>
              <w:rPr>
                <w:rFonts w:ascii="Tahoma" w:hAnsi="Tahoma" w:cs="Tahoma"/>
              </w:rPr>
            </w:pPr>
          </w:p>
        </w:tc>
        <w:tc>
          <w:tcPr>
            <w:tcW w:w="1530" w:type="dxa"/>
          </w:tcPr>
          <w:p w14:paraId="7A278838" w14:textId="77777777" w:rsidR="0039498A" w:rsidRDefault="0039498A" w:rsidP="0039498A">
            <w:pPr>
              <w:pStyle w:val="BodyText"/>
              <w:tabs>
                <w:tab w:val="left" w:pos="720"/>
              </w:tabs>
              <w:spacing w:after="0"/>
              <w:rPr>
                <w:rFonts w:ascii="Tahoma" w:hAnsi="Tahoma" w:cs="Tahoma"/>
              </w:rPr>
            </w:pPr>
          </w:p>
        </w:tc>
      </w:tr>
      <w:tr w:rsidR="0039498A" w14:paraId="72B3C08D" w14:textId="77777777" w:rsidTr="00AF5EA6">
        <w:tc>
          <w:tcPr>
            <w:tcW w:w="7015" w:type="dxa"/>
          </w:tcPr>
          <w:p w14:paraId="2C008D56" w14:textId="4B7E1B07" w:rsidR="0039498A" w:rsidRDefault="0039498A" w:rsidP="0039498A">
            <w:pPr>
              <w:pStyle w:val="BodyText"/>
              <w:tabs>
                <w:tab w:val="left" w:pos="720"/>
              </w:tabs>
              <w:spacing w:after="0"/>
              <w:rPr>
                <w:rFonts w:ascii="Tahoma" w:hAnsi="Tahoma" w:cs="Tahoma"/>
              </w:rPr>
            </w:pPr>
            <w:r>
              <w:rPr>
                <w:rFonts w:ascii="Times New Roman" w:hAnsi="Times New Roman"/>
                <w:lang w:val="en"/>
              </w:rPr>
              <w:t>17.</w:t>
            </w:r>
            <w:r>
              <w:t xml:space="preserve"> </w:t>
            </w:r>
            <w:r w:rsidRPr="00840B2E">
              <w:rPr>
                <w:rFonts w:ascii="Times New Roman" w:hAnsi="Times New Roman"/>
                <w:lang w:val="en"/>
              </w:rPr>
              <w:t>The authorization of Mr. Mircea Ion Sperdea, general manager of the company, to sign the decision of the ordinary general meeting of shareholders (AGMA) and any other documents necessary to implement the AGMA decision and to carry out the formalities of its publication and registration.</w:t>
            </w:r>
            <w:r>
              <w:rPr>
                <w:rFonts w:ascii="Times New Roman" w:hAnsi="Times New Roman"/>
                <w:lang w:val="en"/>
              </w:rPr>
              <w:t xml:space="preserve"> </w:t>
            </w:r>
          </w:p>
        </w:tc>
        <w:tc>
          <w:tcPr>
            <w:tcW w:w="630" w:type="dxa"/>
          </w:tcPr>
          <w:p w14:paraId="2C3AE9B8" w14:textId="77777777" w:rsidR="0039498A" w:rsidRDefault="0039498A" w:rsidP="0039498A">
            <w:pPr>
              <w:pStyle w:val="BodyText"/>
              <w:tabs>
                <w:tab w:val="left" w:pos="720"/>
              </w:tabs>
              <w:spacing w:after="0"/>
              <w:rPr>
                <w:rFonts w:ascii="Tahoma" w:hAnsi="Tahoma" w:cs="Tahoma"/>
              </w:rPr>
            </w:pPr>
          </w:p>
        </w:tc>
        <w:tc>
          <w:tcPr>
            <w:tcW w:w="1170" w:type="dxa"/>
          </w:tcPr>
          <w:p w14:paraId="6B250AA3" w14:textId="77777777" w:rsidR="0039498A" w:rsidRDefault="0039498A" w:rsidP="0039498A">
            <w:pPr>
              <w:pStyle w:val="BodyText"/>
              <w:tabs>
                <w:tab w:val="left" w:pos="720"/>
              </w:tabs>
              <w:spacing w:after="0"/>
              <w:rPr>
                <w:rFonts w:ascii="Tahoma" w:hAnsi="Tahoma" w:cs="Tahoma"/>
              </w:rPr>
            </w:pPr>
          </w:p>
        </w:tc>
        <w:tc>
          <w:tcPr>
            <w:tcW w:w="1530" w:type="dxa"/>
          </w:tcPr>
          <w:p w14:paraId="07160468" w14:textId="77777777" w:rsidR="0039498A" w:rsidRDefault="0039498A" w:rsidP="0039498A">
            <w:pPr>
              <w:pStyle w:val="BodyText"/>
              <w:tabs>
                <w:tab w:val="left" w:pos="720"/>
              </w:tabs>
              <w:spacing w:after="0"/>
              <w:rPr>
                <w:rFonts w:ascii="Tahoma" w:hAnsi="Tahoma" w:cs="Tahoma"/>
              </w:rPr>
            </w:pPr>
          </w:p>
        </w:tc>
      </w:tr>
    </w:tbl>
    <w:p w14:paraId="676DE7AE" w14:textId="77777777" w:rsidR="009A3524" w:rsidRPr="00960720" w:rsidRDefault="009A3524" w:rsidP="009A3524">
      <w:pPr>
        <w:pStyle w:val="BodyText"/>
        <w:tabs>
          <w:tab w:val="left" w:pos="720"/>
        </w:tabs>
        <w:spacing w:after="0"/>
        <w:ind w:left="360"/>
        <w:rPr>
          <w:rFonts w:ascii="Tahoma" w:hAnsi="Tahoma" w:cs="Tahoma"/>
        </w:rPr>
      </w:pPr>
    </w:p>
    <w:p w14:paraId="7224D1A8" w14:textId="77777777" w:rsidR="009A3524" w:rsidRPr="00AC05DC" w:rsidRDefault="009A3524" w:rsidP="009A3524">
      <w:pPr>
        <w:pStyle w:val="BodyText"/>
        <w:numPr>
          <w:ilvl w:val="0"/>
          <w:numId w:val="42"/>
        </w:numPr>
        <w:tabs>
          <w:tab w:val="left" w:pos="360"/>
        </w:tabs>
        <w:suppressAutoHyphens/>
        <w:spacing w:after="0"/>
        <w:ind w:left="360" w:hanging="360"/>
        <w:rPr>
          <w:rFonts w:ascii="Times New Roman" w:hAnsi="Times New Roman"/>
          <w:sz w:val="24"/>
          <w:szCs w:val="24"/>
          <w:lang w:val="en-GB"/>
        </w:rPr>
      </w:pPr>
      <w:proofErr w:type="gramStart"/>
      <w:r w:rsidRPr="00AC05DC">
        <w:rPr>
          <w:rFonts w:ascii="Times New Roman" w:hAnsi="Times New Roman"/>
          <w:sz w:val="24"/>
          <w:szCs w:val="24"/>
          <w:lang w:val="en"/>
        </w:rPr>
        <w:t>the</w:t>
      </w:r>
      <w:proofErr w:type="gramEnd"/>
      <w:r w:rsidRPr="00AC05DC">
        <w:rPr>
          <w:rFonts w:ascii="Times New Roman" w:hAnsi="Times New Roman"/>
          <w:sz w:val="24"/>
          <w:szCs w:val="24"/>
          <w:lang w:val="en"/>
        </w:rPr>
        <w:t xml:space="preserve"> vote will expressed by marking with “X” in only one box </w:t>
      </w:r>
      <w:proofErr w:type="spellStart"/>
      <w:r w:rsidRPr="00AC05DC">
        <w:rPr>
          <w:rFonts w:ascii="Times New Roman" w:hAnsi="Times New Roman"/>
          <w:sz w:val="24"/>
          <w:szCs w:val="24"/>
          <w:lang w:val="en"/>
        </w:rPr>
        <w:t>coresponding</w:t>
      </w:r>
      <w:proofErr w:type="spellEnd"/>
      <w:r w:rsidRPr="00AC05DC">
        <w:rPr>
          <w:rFonts w:ascii="Times New Roman" w:hAnsi="Times New Roman"/>
          <w:sz w:val="24"/>
          <w:szCs w:val="24"/>
          <w:lang w:val="en"/>
        </w:rPr>
        <w:t xml:space="preserve"> to vote intention, respectively </w:t>
      </w:r>
      <w:proofErr w:type="gramStart"/>
      <w:r w:rsidRPr="00AC05DC">
        <w:rPr>
          <w:rFonts w:ascii="Times New Roman" w:hAnsi="Times New Roman"/>
          <w:sz w:val="24"/>
          <w:szCs w:val="24"/>
          <w:lang w:val="en"/>
        </w:rPr>
        <w:t>“ PRO</w:t>
      </w:r>
      <w:proofErr w:type="gramEnd"/>
      <w:r w:rsidRPr="00AC05DC">
        <w:rPr>
          <w:rFonts w:ascii="Times New Roman" w:hAnsi="Times New Roman"/>
          <w:sz w:val="24"/>
          <w:szCs w:val="24"/>
          <w:lang w:val="en"/>
        </w:rPr>
        <w:t>”, “ AGAINST” or “ABSTENTION”,  for each resolution in part</w:t>
      </w:r>
      <w:r w:rsidRPr="00AC05DC">
        <w:rPr>
          <w:rFonts w:ascii="Times New Roman" w:hAnsi="Times New Roman"/>
          <w:sz w:val="24"/>
          <w:szCs w:val="24"/>
          <w:lang w:val="en-GB"/>
        </w:rPr>
        <w:t>.</w:t>
      </w:r>
    </w:p>
    <w:p w14:paraId="098C1D16" w14:textId="77777777" w:rsidR="009A3524" w:rsidRPr="00AC05DC" w:rsidRDefault="009A3524" w:rsidP="009A3524">
      <w:pPr>
        <w:pStyle w:val="BodyText"/>
        <w:tabs>
          <w:tab w:val="left" w:pos="720"/>
        </w:tabs>
        <w:spacing w:after="0"/>
        <w:ind w:left="360"/>
        <w:rPr>
          <w:rFonts w:ascii="Times New Roman" w:hAnsi="Times New Roman"/>
          <w:sz w:val="24"/>
          <w:szCs w:val="24"/>
          <w:lang w:val="en-GB"/>
        </w:rPr>
      </w:pPr>
    </w:p>
    <w:p w14:paraId="5F447CA1" w14:textId="77777777" w:rsidR="009A3524" w:rsidRPr="00AC05DC" w:rsidRDefault="009A3524" w:rsidP="009A3524">
      <w:pPr>
        <w:pStyle w:val="BodyText"/>
        <w:spacing w:after="0"/>
        <w:ind w:firstLine="763"/>
        <w:rPr>
          <w:rFonts w:ascii="Times New Roman" w:hAnsi="Times New Roman"/>
          <w:sz w:val="24"/>
          <w:szCs w:val="24"/>
          <w:lang w:val="en-GB"/>
        </w:rPr>
      </w:pPr>
      <w:r w:rsidRPr="00AC05DC">
        <w:rPr>
          <w:rFonts w:ascii="Times New Roman" w:hAnsi="Times New Roman"/>
          <w:sz w:val="24"/>
          <w:szCs w:val="24"/>
          <w:lang w:val="en-GB"/>
        </w:rPr>
        <w:t>Date _________________</w:t>
      </w:r>
    </w:p>
    <w:p w14:paraId="616E09B3" w14:textId="77777777" w:rsidR="009A3524" w:rsidRPr="00AC05DC" w:rsidRDefault="009A3524" w:rsidP="009A3524">
      <w:pPr>
        <w:pStyle w:val="BodyText"/>
        <w:spacing w:after="0"/>
        <w:ind w:firstLine="763"/>
        <w:rPr>
          <w:rFonts w:ascii="Times New Roman" w:hAnsi="Times New Roman"/>
          <w:sz w:val="24"/>
          <w:szCs w:val="24"/>
          <w:lang w:val="en-GB"/>
        </w:rPr>
      </w:pPr>
    </w:p>
    <w:p w14:paraId="3B6F7C96" w14:textId="0776682E" w:rsidR="000310A3" w:rsidRPr="000310A3" w:rsidRDefault="009A3524" w:rsidP="00AC05DC">
      <w:pPr>
        <w:pStyle w:val="BodyText"/>
        <w:spacing w:after="0"/>
        <w:ind w:firstLine="763"/>
        <w:rPr>
          <w:rFonts w:ascii="Times New Roman" w:hAnsi="Times New Roman"/>
          <w:sz w:val="24"/>
          <w:szCs w:val="24"/>
        </w:rPr>
      </w:pPr>
      <w:r w:rsidRPr="00AC05DC">
        <w:rPr>
          <w:rFonts w:ascii="Times New Roman" w:hAnsi="Times New Roman"/>
          <w:sz w:val="24"/>
          <w:szCs w:val="24"/>
          <w:lang w:val="en-GB"/>
        </w:rPr>
        <w:t xml:space="preserve">Stamp and signature___________ </w:t>
      </w:r>
    </w:p>
    <w:sectPr w:rsidR="000310A3" w:rsidRPr="000310A3" w:rsidSect="00772293">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805200069">
    <w:abstractNumId w:val="26"/>
  </w:num>
  <w:num w:numId="2" w16cid:durableId="298415599">
    <w:abstractNumId w:val="12"/>
  </w:num>
  <w:num w:numId="3" w16cid:durableId="948395615">
    <w:abstractNumId w:val="29"/>
  </w:num>
  <w:num w:numId="4" w16cid:durableId="120342237">
    <w:abstractNumId w:val="6"/>
  </w:num>
  <w:num w:numId="5" w16cid:durableId="890506412">
    <w:abstractNumId w:val="4"/>
  </w:num>
  <w:num w:numId="6" w16cid:durableId="1947039888">
    <w:abstractNumId w:val="31"/>
  </w:num>
  <w:num w:numId="7" w16cid:durableId="176966349">
    <w:abstractNumId w:val="21"/>
  </w:num>
  <w:num w:numId="8" w16cid:durableId="1178429509">
    <w:abstractNumId w:val="32"/>
  </w:num>
  <w:num w:numId="9" w16cid:durableId="627005841">
    <w:abstractNumId w:val="19"/>
  </w:num>
  <w:num w:numId="10" w16cid:durableId="222253682">
    <w:abstractNumId w:val="30"/>
  </w:num>
  <w:num w:numId="11" w16cid:durableId="1567522619">
    <w:abstractNumId w:val="17"/>
  </w:num>
  <w:num w:numId="12" w16cid:durableId="1166822228">
    <w:abstractNumId w:val="36"/>
  </w:num>
  <w:num w:numId="13" w16cid:durableId="387461153">
    <w:abstractNumId w:val="35"/>
  </w:num>
  <w:num w:numId="14" w16cid:durableId="1704860737">
    <w:abstractNumId w:val="1"/>
  </w:num>
  <w:num w:numId="15" w16cid:durableId="1205023215">
    <w:abstractNumId w:val="33"/>
  </w:num>
  <w:num w:numId="16" w16cid:durableId="64694887">
    <w:abstractNumId w:val="20"/>
  </w:num>
  <w:num w:numId="17" w16cid:durableId="2063480653">
    <w:abstractNumId w:val="41"/>
  </w:num>
  <w:num w:numId="18" w16cid:durableId="1320765390">
    <w:abstractNumId w:val="40"/>
  </w:num>
  <w:num w:numId="19" w16cid:durableId="405223948">
    <w:abstractNumId w:val="9"/>
  </w:num>
  <w:num w:numId="20" w16cid:durableId="848452262">
    <w:abstractNumId w:val="38"/>
  </w:num>
  <w:num w:numId="21" w16cid:durableId="1244493742">
    <w:abstractNumId w:val="22"/>
  </w:num>
  <w:num w:numId="22" w16cid:durableId="118686750">
    <w:abstractNumId w:val="25"/>
  </w:num>
  <w:num w:numId="23" w16cid:durableId="1812556980">
    <w:abstractNumId w:val="16"/>
  </w:num>
  <w:num w:numId="24" w16cid:durableId="2108384392">
    <w:abstractNumId w:val="13"/>
  </w:num>
  <w:num w:numId="25" w16cid:durableId="81146952">
    <w:abstractNumId w:val="10"/>
  </w:num>
  <w:num w:numId="26" w16cid:durableId="383911423">
    <w:abstractNumId w:val="24"/>
  </w:num>
  <w:num w:numId="27" w16cid:durableId="407074075">
    <w:abstractNumId w:val="8"/>
  </w:num>
  <w:num w:numId="28" w16cid:durableId="624965365">
    <w:abstractNumId w:val="39"/>
  </w:num>
  <w:num w:numId="29" w16cid:durableId="19474066">
    <w:abstractNumId w:val="34"/>
  </w:num>
  <w:num w:numId="30" w16cid:durableId="1131249116">
    <w:abstractNumId w:val="3"/>
  </w:num>
  <w:num w:numId="31" w16cid:durableId="1540823918">
    <w:abstractNumId w:val="23"/>
  </w:num>
  <w:num w:numId="32" w16cid:durableId="583880586">
    <w:abstractNumId w:val="18"/>
  </w:num>
  <w:num w:numId="33" w16cid:durableId="1148716035">
    <w:abstractNumId w:val="7"/>
  </w:num>
  <w:num w:numId="34" w16cid:durableId="225116305">
    <w:abstractNumId w:val="5"/>
  </w:num>
  <w:num w:numId="35" w16cid:durableId="1439060587">
    <w:abstractNumId w:val="15"/>
  </w:num>
  <w:num w:numId="36" w16cid:durableId="1182083943">
    <w:abstractNumId w:val="14"/>
  </w:num>
  <w:num w:numId="37" w16cid:durableId="1590195399">
    <w:abstractNumId w:val="27"/>
  </w:num>
  <w:num w:numId="38" w16cid:durableId="487135874">
    <w:abstractNumId w:val="2"/>
  </w:num>
  <w:num w:numId="39" w16cid:durableId="271666847">
    <w:abstractNumId w:val="11"/>
  </w:num>
  <w:num w:numId="40" w16cid:durableId="1515418240">
    <w:abstractNumId w:val="37"/>
  </w:num>
  <w:num w:numId="41" w16cid:durableId="1737513091">
    <w:abstractNumId w:val="28"/>
  </w:num>
  <w:num w:numId="42" w16cid:durableId="9610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39498A"/>
    <w:rsid w:val="00415F52"/>
    <w:rsid w:val="00445506"/>
    <w:rsid w:val="00594C85"/>
    <w:rsid w:val="00634BB1"/>
    <w:rsid w:val="00656C05"/>
    <w:rsid w:val="00664078"/>
    <w:rsid w:val="00772293"/>
    <w:rsid w:val="007B3A9E"/>
    <w:rsid w:val="008C5D18"/>
    <w:rsid w:val="009A3524"/>
    <w:rsid w:val="00A216CC"/>
    <w:rsid w:val="00AC05DC"/>
    <w:rsid w:val="00AF5EA6"/>
    <w:rsid w:val="00B625A3"/>
    <w:rsid w:val="00D03DA9"/>
    <w:rsid w:val="00D1335E"/>
    <w:rsid w:val="00E36099"/>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9A3524"/>
  </w:style>
  <w:style w:type="character" w:customStyle="1" w:styleId="tlid-translation">
    <w:name w:val="tlid-translation"/>
    <w:rsid w:val="009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4064</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2023-04-03T09:47:00Z</dcterms:created>
  <dcterms:modified xsi:type="dcterms:W3CDTF">2024-03-18T06:12:00Z</dcterms:modified>
</cp:coreProperties>
</file>