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34AA1AF6" w14:textId="77777777" w:rsidR="002F481B" w:rsidRDefault="002F481B" w:rsidP="002F481B">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7CD91D24" w14:textId="61D16D93" w:rsidR="002F481B" w:rsidRDefault="002F481B" w:rsidP="002F481B">
      <w:pPr>
        <w:pStyle w:val="Antet"/>
        <w:jc w:val="center"/>
        <w:rPr>
          <w:rFonts w:ascii="Tahoma" w:hAnsi="Tahoma" w:cs="Tahoma"/>
          <w:b/>
          <w:spacing w:val="-5"/>
          <w:sz w:val="28"/>
          <w:szCs w:val="28"/>
        </w:rPr>
      </w:pPr>
      <w:r w:rsidRPr="00BF73A7">
        <w:rPr>
          <w:rFonts w:ascii="Tahoma" w:hAnsi="Tahoma" w:cs="Tahoma"/>
          <w:b/>
          <w:spacing w:val="-5"/>
          <w:sz w:val="28"/>
          <w:szCs w:val="28"/>
        </w:rPr>
        <w:t xml:space="preserve">Dedicated to item </w:t>
      </w:r>
      <w:r w:rsidR="00AC06F1">
        <w:rPr>
          <w:rFonts w:ascii="Tahoma" w:hAnsi="Tahoma" w:cs="Tahoma"/>
          <w:b/>
          <w:spacing w:val="-5"/>
          <w:sz w:val="28"/>
          <w:szCs w:val="28"/>
        </w:rPr>
        <w:t>9</w:t>
      </w:r>
      <w:r w:rsidRPr="00BF73A7">
        <w:rPr>
          <w:rFonts w:ascii="Tahoma" w:hAnsi="Tahoma" w:cs="Tahoma"/>
          <w:b/>
          <w:spacing w:val="-5"/>
          <w:sz w:val="28"/>
          <w:szCs w:val="28"/>
        </w:rPr>
        <w:t xml:space="preserve"> on the OGMS agenda</w:t>
      </w:r>
    </w:p>
    <w:p w14:paraId="303FDCC0" w14:textId="77777777" w:rsidR="002F481B" w:rsidRDefault="002F481B" w:rsidP="002F481B">
      <w:pPr>
        <w:pStyle w:val="Antet"/>
        <w:rPr>
          <w:rFonts w:ascii="Tahoma" w:hAnsi="Tahoma" w:cs="Tahoma"/>
          <w:b/>
          <w:spacing w:val="-5"/>
          <w:sz w:val="28"/>
          <w:szCs w:val="28"/>
        </w:rPr>
      </w:pPr>
    </w:p>
    <w:p w14:paraId="1D04702B" w14:textId="111AF674" w:rsidR="002F481B" w:rsidRDefault="002F481B" w:rsidP="002F481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Ordinary General Meeting of Shareholders SANTIERUL NAVAL ORSOVA SA to be held in </w:t>
      </w:r>
      <w:r w:rsidR="009E75B5" w:rsidRPr="009E75B5">
        <w:rPr>
          <w:rFonts w:ascii="Tahoma" w:hAnsi="Tahoma" w:cs="Tahoma"/>
        </w:rPr>
        <w:t>2</w:t>
      </w:r>
      <w:r w:rsidR="00BC76C6">
        <w:rPr>
          <w:rFonts w:ascii="Tahoma" w:hAnsi="Tahoma" w:cs="Tahoma"/>
        </w:rPr>
        <w:t>7</w:t>
      </w:r>
      <w:r w:rsidR="009E75B5" w:rsidRPr="009E75B5">
        <w:rPr>
          <w:rFonts w:ascii="Tahoma" w:hAnsi="Tahoma" w:cs="Tahoma"/>
        </w:rPr>
        <w:t>.04.202</w:t>
      </w:r>
      <w:r w:rsidR="00BC76C6">
        <w:rPr>
          <w:rFonts w:ascii="Tahoma" w:hAnsi="Tahoma" w:cs="Tahoma"/>
        </w:rPr>
        <w:t>6</w:t>
      </w:r>
      <w:r>
        <w:rPr>
          <w:rFonts w:ascii="Tahoma" w:hAnsi="Tahoma" w:cs="Tahoma"/>
        </w:rPr>
        <w:t>, 1</w:t>
      </w:r>
      <w:r w:rsidR="009E75B5">
        <w:rPr>
          <w:rFonts w:ascii="Tahoma" w:hAnsi="Tahoma" w:cs="Tahoma"/>
        </w:rPr>
        <w:t>0</w:t>
      </w:r>
      <w:r>
        <w:rPr>
          <w:rFonts w:ascii="Tahoma" w:hAnsi="Tahoma" w:cs="Tahoma"/>
        </w:rPr>
        <w:t xml:space="preserve"> o’clock, at society’s headquarter, concluded for the first convocation, or in </w:t>
      </w:r>
      <w:r w:rsidR="009E75B5" w:rsidRPr="009E75B5">
        <w:rPr>
          <w:rFonts w:ascii="Tahoma" w:hAnsi="Tahoma" w:cs="Tahoma"/>
        </w:rPr>
        <w:t>2</w:t>
      </w:r>
      <w:r w:rsidR="00BC76C6">
        <w:rPr>
          <w:rFonts w:ascii="Tahoma" w:hAnsi="Tahoma" w:cs="Tahoma"/>
        </w:rPr>
        <w:t>8</w:t>
      </w:r>
      <w:r w:rsidR="009E75B5" w:rsidRPr="009E75B5">
        <w:rPr>
          <w:rFonts w:ascii="Tahoma" w:hAnsi="Tahoma" w:cs="Tahoma"/>
        </w:rPr>
        <w:t>.04.202</w:t>
      </w:r>
      <w:r w:rsidR="00BC76C6">
        <w:rPr>
          <w:rFonts w:ascii="Tahoma" w:hAnsi="Tahoma" w:cs="Tahoma"/>
        </w:rPr>
        <w:t>6</w:t>
      </w:r>
      <w:r>
        <w:rPr>
          <w:rFonts w:ascii="Tahoma" w:hAnsi="Tahoma" w:cs="Tahoma"/>
        </w:rPr>
        <w:t xml:space="preserve"> at the same hour and address, concluded as being second convocation, in case that the first one can not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tbl>
      <w:tblPr>
        <w:tblW w:w="10066" w:type="dxa"/>
        <w:tblInd w:w="142" w:type="dxa"/>
        <w:tblLayout w:type="fixed"/>
        <w:tblLook w:val="0000" w:firstRow="0" w:lastRow="0" w:firstColumn="0" w:lastColumn="0" w:noHBand="0" w:noVBand="0"/>
      </w:tblPr>
      <w:tblGrid>
        <w:gridCol w:w="7166"/>
        <w:gridCol w:w="630"/>
        <w:gridCol w:w="990"/>
        <w:gridCol w:w="1280"/>
      </w:tblGrid>
      <w:tr w:rsidR="002F481B" w:rsidRPr="00960720" w14:paraId="46826C0A" w14:textId="77777777" w:rsidTr="006F1E34">
        <w:tc>
          <w:tcPr>
            <w:tcW w:w="7166" w:type="dxa"/>
            <w:tcBorders>
              <w:top w:val="single" w:sz="4" w:space="0" w:color="000000"/>
              <w:left w:val="single" w:sz="4" w:space="0" w:color="000000"/>
              <w:bottom w:val="single" w:sz="4" w:space="0" w:color="000000"/>
            </w:tcBorders>
          </w:tcPr>
          <w:p w14:paraId="4E4FE0DC" w14:textId="77777777" w:rsidR="002F481B" w:rsidRPr="00960720" w:rsidRDefault="002F481B" w:rsidP="006F1E34">
            <w:pPr>
              <w:pStyle w:val="Corptext"/>
              <w:snapToGrid w:val="0"/>
              <w:spacing w:before="120" w:after="120"/>
              <w:jc w:val="center"/>
              <w:rPr>
                <w:rFonts w:ascii="Tahoma" w:hAnsi="Tahoma" w:cs="Tahoma"/>
              </w:rPr>
            </w:pPr>
            <w:r w:rsidRPr="00960720">
              <w:rPr>
                <w:rFonts w:ascii="Tahoma" w:hAnsi="Tahoma" w:cs="Tahoma"/>
              </w:rPr>
              <w:t>Points on the agenda to be voted on General Meeting of Shareholders</w:t>
            </w:r>
          </w:p>
        </w:tc>
        <w:tc>
          <w:tcPr>
            <w:tcW w:w="630" w:type="dxa"/>
            <w:tcBorders>
              <w:top w:val="single" w:sz="4" w:space="0" w:color="000000"/>
              <w:left w:val="single" w:sz="4" w:space="0" w:color="000000"/>
              <w:bottom w:val="single" w:sz="4" w:space="0" w:color="000000"/>
            </w:tcBorders>
          </w:tcPr>
          <w:p w14:paraId="69723D73"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5EAC4356"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1A01CED"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2F481B" w:rsidRPr="00960720" w14:paraId="5B3FA085" w14:textId="77777777" w:rsidTr="006F1E34">
        <w:tc>
          <w:tcPr>
            <w:tcW w:w="7166" w:type="dxa"/>
            <w:tcBorders>
              <w:left w:val="single" w:sz="4" w:space="0" w:color="000000"/>
              <w:bottom w:val="single" w:sz="4" w:space="0" w:color="000000"/>
            </w:tcBorders>
          </w:tcPr>
          <w:p w14:paraId="1477A177" w14:textId="07937E73" w:rsidR="002F481B" w:rsidRPr="00E24C01" w:rsidRDefault="009E75B5" w:rsidP="006F1E34">
            <w:pPr>
              <w:tabs>
                <w:tab w:val="left" w:pos="720"/>
                <w:tab w:val="left" w:pos="1440"/>
                <w:tab w:val="left" w:leader="dot" w:pos="2579"/>
              </w:tabs>
              <w:contextualSpacing/>
              <w:jc w:val="both"/>
              <w:rPr>
                <w:rStyle w:val="hps"/>
                <w:rFonts w:ascii="Tahoma" w:hAnsi="Tahoma" w:cs="Tahoma"/>
                <w:b/>
                <w:bCs/>
                <w:lang w:val="en"/>
              </w:rPr>
            </w:pPr>
            <w:r>
              <w:rPr>
                <w:rFonts w:ascii="Tahoma" w:hAnsi="Tahoma" w:cs="Tahoma"/>
                <w:bCs/>
                <w:sz w:val="20"/>
                <w:szCs w:val="20"/>
              </w:rPr>
              <w:t>9</w:t>
            </w:r>
            <w:r w:rsidR="002F481B" w:rsidRPr="002F481B">
              <w:rPr>
                <w:rFonts w:ascii="Tahoma" w:hAnsi="Tahoma" w:cs="Tahoma"/>
                <w:bCs/>
                <w:sz w:val="20"/>
                <w:szCs w:val="20"/>
              </w:rPr>
              <w:t>.</w:t>
            </w:r>
            <w:r w:rsidR="00AC06F1">
              <w:t xml:space="preserve"> </w:t>
            </w:r>
            <w:r w:rsidR="00BC76C6" w:rsidRPr="00BC76C6">
              <w:rPr>
                <w:rFonts w:ascii="Tahoma" w:hAnsi="Tahoma" w:cs="Tahoma"/>
                <w:bCs/>
                <w:sz w:val="20"/>
                <w:szCs w:val="20"/>
              </w:rPr>
              <w:t>Election of a new member of the Board of Directors for a term that will begin on 27.04.2026 and end on 23.04.2028</w:t>
            </w:r>
            <w:r w:rsidR="002F481B" w:rsidRPr="00E24C01">
              <w:rPr>
                <w:rFonts w:ascii="Tahoma" w:hAnsi="Tahoma" w:cs="Tahoma"/>
                <w:bCs/>
              </w:rPr>
              <w:t>.</w:t>
            </w:r>
            <w:r w:rsidR="00AC06F1">
              <w:rPr>
                <w:rFonts w:ascii="Tahoma" w:hAnsi="Tahoma" w:cs="Tahoma"/>
                <w:bCs/>
              </w:rPr>
              <w:t xml:space="preserve"> </w:t>
            </w:r>
            <w:r w:rsidR="00BC76C6">
              <w:rPr>
                <w:rFonts w:ascii="Tahoma" w:hAnsi="Tahoma" w:cs="Tahoma"/>
                <w:bCs/>
              </w:rPr>
              <w:t xml:space="preserve"> </w:t>
            </w:r>
          </w:p>
        </w:tc>
        <w:tc>
          <w:tcPr>
            <w:tcW w:w="630" w:type="dxa"/>
            <w:tcBorders>
              <w:left w:val="single" w:sz="4" w:space="0" w:color="000000"/>
              <w:bottom w:val="single" w:sz="4" w:space="0" w:color="000000"/>
            </w:tcBorders>
          </w:tcPr>
          <w:p w14:paraId="4C79FFF0" w14:textId="77777777" w:rsidR="002F481B" w:rsidRPr="00960720" w:rsidRDefault="002F481B" w:rsidP="006F1E34">
            <w:pPr>
              <w:pStyle w:val="Corptext"/>
              <w:snapToGrid w:val="0"/>
              <w:spacing w:before="120" w:after="120"/>
              <w:jc w:val="center"/>
              <w:rPr>
                <w:rFonts w:ascii="Tahoma" w:hAnsi="Tahoma" w:cs="Tahoma"/>
                <w:lang w:val="en"/>
              </w:rPr>
            </w:pPr>
            <w:r w:rsidRPr="00960720">
              <w:rPr>
                <w:rFonts w:ascii="Tahoma" w:hAnsi="Tahoma" w:cs="Tahoma"/>
                <w:lang w:val="en"/>
              </w:rPr>
              <w:t xml:space="preserve"> </w:t>
            </w:r>
          </w:p>
        </w:tc>
        <w:tc>
          <w:tcPr>
            <w:tcW w:w="990" w:type="dxa"/>
            <w:tcBorders>
              <w:left w:val="single" w:sz="4" w:space="0" w:color="000000"/>
              <w:bottom w:val="single" w:sz="4" w:space="0" w:color="000000"/>
            </w:tcBorders>
          </w:tcPr>
          <w:p w14:paraId="7F5C6C61" w14:textId="77777777" w:rsidR="002F481B" w:rsidRPr="00960720" w:rsidRDefault="002F481B" w:rsidP="006F1E34">
            <w:pPr>
              <w:pStyle w:val="Corptext"/>
              <w:snapToGrid w:val="0"/>
              <w:spacing w:before="120" w:after="120"/>
              <w:jc w:val="center"/>
              <w:rPr>
                <w:rFonts w:ascii="Tahoma" w:hAnsi="Tahoma" w:cs="Tahoma"/>
                <w:lang w:val="en"/>
              </w:rPr>
            </w:pPr>
          </w:p>
        </w:tc>
        <w:tc>
          <w:tcPr>
            <w:tcW w:w="1280" w:type="dxa"/>
            <w:tcBorders>
              <w:left w:val="single" w:sz="4" w:space="0" w:color="000000"/>
              <w:bottom w:val="single" w:sz="4" w:space="0" w:color="000000"/>
              <w:right w:val="single" w:sz="4" w:space="0" w:color="000000"/>
            </w:tcBorders>
          </w:tcPr>
          <w:p w14:paraId="17B6CF69" w14:textId="77777777" w:rsidR="002F481B" w:rsidRPr="00960720" w:rsidRDefault="002F481B" w:rsidP="006F1E34">
            <w:pPr>
              <w:pStyle w:val="Corptext"/>
              <w:snapToGrid w:val="0"/>
              <w:spacing w:before="120" w:after="120"/>
              <w:jc w:val="center"/>
              <w:rPr>
                <w:rFonts w:ascii="Tahoma" w:hAnsi="Tahoma" w:cs="Tahoma"/>
                <w:lang w:val="en"/>
              </w:rPr>
            </w:pPr>
          </w:p>
        </w:tc>
      </w:tr>
    </w:tbl>
    <w:p w14:paraId="32FE030E" w14:textId="0D521B7A" w:rsidR="002F481B" w:rsidRDefault="002F481B" w:rsidP="002F481B">
      <w:pPr>
        <w:pStyle w:val="Corptext"/>
        <w:tabs>
          <w:tab w:val="left" w:pos="360"/>
        </w:tabs>
        <w:suppressAutoHyphens/>
        <w:spacing w:after="0"/>
        <w:ind w:left="360"/>
        <w:rPr>
          <w:lang w:val="en"/>
        </w:rPr>
      </w:pPr>
      <w:r>
        <w:rPr>
          <w:rFonts w:cs="Arial"/>
          <w:lang w:val="en"/>
        </w:rPr>
        <w:t>¹</w:t>
      </w:r>
      <w:r w:rsidRPr="00BF73A7">
        <w:rPr>
          <w:lang w:val="en"/>
        </w:rPr>
        <w:t xml:space="preserve">This power of attorney dedicated to item </w:t>
      </w:r>
      <w:r w:rsidR="009E75B5">
        <w:rPr>
          <w:lang w:val="en"/>
        </w:rPr>
        <w:t>9</w:t>
      </w:r>
      <w:r w:rsidRPr="00BF73A7">
        <w:rPr>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9E75B5">
        <w:rPr>
          <w:lang w:val="en"/>
        </w:rPr>
        <w:t>April</w:t>
      </w:r>
      <w:r w:rsidRPr="00BF73A7">
        <w:rPr>
          <w:lang w:val="en"/>
        </w:rPr>
        <w:t xml:space="preserve"> </w:t>
      </w:r>
      <w:r w:rsidR="00BC76C6">
        <w:rPr>
          <w:lang w:val="en"/>
        </w:rPr>
        <w:t>25</w:t>
      </w:r>
      <w:r w:rsidRPr="00BF73A7">
        <w:rPr>
          <w:lang w:val="en"/>
        </w:rPr>
        <w:t>, 202</w:t>
      </w:r>
      <w:r w:rsidR="00BC76C6">
        <w:rPr>
          <w:lang w:val="en"/>
        </w:rPr>
        <w:t>6</w:t>
      </w:r>
      <w:r w:rsidRPr="00BF73A7">
        <w:rPr>
          <w:lang w:val="en"/>
        </w:rPr>
        <w:t xml:space="preserve">, in a separate, closed envelope, indicating on the envelope, clearly "Confidential - Secret voting instructions for the Ordinary General Meeting of Shareholders dated </w:t>
      </w:r>
      <w:r w:rsidR="009E75B5" w:rsidRPr="009E75B5">
        <w:rPr>
          <w:lang w:val="en"/>
        </w:rPr>
        <w:t>2</w:t>
      </w:r>
      <w:r w:rsidR="00BC76C6">
        <w:rPr>
          <w:lang w:val="en"/>
        </w:rPr>
        <w:t>7</w:t>
      </w:r>
      <w:r w:rsidR="009E75B5" w:rsidRPr="009E75B5">
        <w:rPr>
          <w:lang w:val="en"/>
        </w:rPr>
        <w:t>/2</w:t>
      </w:r>
      <w:r w:rsidR="00BC76C6">
        <w:rPr>
          <w:lang w:val="en"/>
        </w:rPr>
        <w:t>8</w:t>
      </w:r>
      <w:r w:rsidR="009E75B5" w:rsidRPr="009E75B5">
        <w:rPr>
          <w:lang w:val="en"/>
        </w:rPr>
        <w:t>.04.202</w:t>
      </w:r>
      <w:r w:rsidR="00BC76C6">
        <w:rPr>
          <w:lang w:val="en"/>
        </w:rPr>
        <w:t>6</w:t>
      </w:r>
      <w:r w:rsidRPr="00BF73A7">
        <w:rPr>
          <w:lang w:val="en"/>
        </w:rPr>
        <w:t xml:space="preserve">" and which will be introduced, in turn, in the envelope containing the special power of attorney dedicated to the other items on the OGMS agenda and related documents. The powers of attorney can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9E75B5" w:rsidRPr="009E75B5">
        <w:rPr>
          <w:lang w:val="en"/>
        </w:rPr>
        <w:t>2</w:t>
      </w:r>
      <w:r w:rsidR="00BC76C6">
        <w:rPr>
          <w:lang w:val="en"/>
        </w:rPr>
        <w:t>7</w:t>
      </w:r>
      <w:r w:rsidR="009E75B5" w:rsidRPr="009E75B5">
        <w:rPr>
          <w:lang w:val="en"/>
        </w:rPr>
        <w:t>/2</w:t>
      </w:r>
      <w:r w:rsidR="00BC76C6">
        <w:rPr>
          <w:lang w:val="en"/>
        </w:rPr>
        <w:t>8</w:t>
      </w:r>
      <w:r w:rsidR="009E75B5" w:rsidRPr="009E75B5">
        <w:rPr>
          <w:lang w:val="en"/>
        </w:rPr>
        <w:t>.04.202</w:t>
      </w:r>
      <w:r w:rsidR="00BC76C6">
        <w:rPr>
          <w:lang w:val="en"/>
        </w:rPr>
        <w:t>6</w:t>
      </w:r>
      <w:r w:rsidRPr="00BF73A7">
        <w:rPr>
          <w:lang w:val="en"/>
        </w:rPr>
        <w:t>”. The power of attorney will be accompanied by a copy of the identity document of the legal representative of the legal person shareholder, as well as by the official document attesting the quality of legal representative for the signatory of the power of attorney.</w:t>
      </w:r>
      <w:r>
        <w:rPr>
          <w:lang w:val="en"/>
        </w:rPr>
        <w:t xml:space="preserve"> </w:t>
      </w:r>
      <w:r w:rsidRPr="00BF73A7">
        <w:rPr>
          <w:lang w:val="en"/>
        </w:rPr>
        <w:t xml:space="preserve">The quality of legal representative is proved by a certificate issued by the </w:t>
      </w:r>
      <w:r w:rsidRPr="00152EEF">
        <w:rPr>
          <w:lang w:val="en"/>
        </w:rPr>
        <w:t>Comemerce Registry Office</w:t>
      </w:r>
      <w:r w:rsidRPr="00BF73A7">
        <w:rPr>
          <w:lang w:val="en"/>
        </w:rPr>
        <w:t>, presented in original or copy in accordance with the original, or any other document, in original or in copy in accordance with the original, issued by a competent authority of the state where the shareholder is legally registered, which certifies the quality of legal representative.</w:t>
      </w:r>
      <w:r>
        <w:rPr>
          <w:lang w:val="en"/>
        </w:rPr>
        <w:t xml:space="preserve"> </w:t>
      </w:r>
      <w:r w:rsidRPr="00BF73A7">
        <w:rPr>
          <w:lang w:val="en"/>
        </w:rPr>
        <w:t>The document certifying the quality of legal representative of the shareholder legal entity is valid if it was issued at most 3 months before the publication of this call.</w:t>
      </w:r>
    </w:p>
    <w:p w14:paraId="55C809C6" w14:textId="77777777" w:rsidR="002F481B" w:rsidRDefault="002F481B" w:rsidP="002F481B">
      <w:pPr>
        <w:pStyle w:val="Corptext"/>
        <w:tabs>
          <w:tab w:val="left" w:pos="360"/>
        </w:tabs>
        <w:suppressAutoHyphens/>
        <w:spacing w:after="0"/>
        <w:ind w:left="360"/>
        <w:rPr>
          <w:lang w:val="en"/>
        </w:rPr>
      </w:pPr>
    </w:p>
    <w:p w14:paraId="762BDB06" w14:textId="77777777" w:rsidR="002F481B" w:rsidRDefault="002F481B" w:rsidP="002F481B">
      <w:pPr>
        <w:pStyle w:val="Corptext"/>
        <w:tabs>
          <w:tab w:val="left" w:pos="360"/>
        </w:tabs>
        <w:suppressAutoHyphens/>
        <w:spacing w:after="0"/>
        <w:ind w:left="360"/>
        <w:rPr>
          <w:rFonts w:ascii="Tahoma" w:hAnsi="Tahoma" w:cs="Tahoma"/>
          <w:sz w:val="24"/>
          <w:szCs w:val="24"/>
          <w:lang w:val="en-GB"/>
        </w:rPr>
      </w:pPr>
      <w:r>
        <w:rPr>
          <w:lang w:val="en"/>
        </w:rPr>
        <w:t>*The vote will expressed by marking with “X” in only one box coresponding to vote intention, respectively “ PRO”, “ AGAINST” or “ABSTENTION”, for each resolution in part</w:t>
      </w:r>
      <w:r>
        <w:rPr>
          <w:rFonts w:ascii="Tahoma" w:hAnsi="Tahoma" w:cs="Tahoma"/>
          <w:sz w:val="24"/>
          <w:szCs w:val="24"/>
          <w:lang w:val="en-GB"/>
        </w:rPr>
        <w:t>.</w:t>
      </w:r>
    </w:p>
    <w:p w14:paraId="0B7E7D2E"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0E94F4E7" w14:textId="77777777" w:rsidR="002F481B" w:rsidRPr="00E708EB" w:rsidRDefault="002F481B" w:rsidP="002F481B">
      <w:pPr>
        <w:pStyle w:val="Corptext"/>
        <w:spacing w:after="0"/>
        <w:rPr>
          <w:rFonts w:ascii="Trebuchet MS" w:hAnsi="Trebuchet MS" w:cs="Tahoma"/>
          <w:lang w:val="en-GB"/>
        </w:rPr>
      </w:pPr>
    </w:p>
    <w:p w14:paraId="0383F553"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7867157D" w14:textId="77777777" w:rsidR="002F481B" w:rsidRPr="00960720"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5B06049" w14:textId="77777777" w:rsidR="002F481B" w:rsidRPr="00960720" w:rsidRDefault="002F481B" w:rsidP="002F481B">
      <w:pPr>
        <w:pStyle w:val="Corptext"/>
        <w:spacing w:after="0"/>
        <w:ind w:firstLine="763"/>
        <w:rPr>
          <w:rStyle w:val="tlid-translation"/>
          <w:rFonts w:ascii="Tahoma" w:hAnsi="Tahoma" w:cs="Tahoma"/>
        </w:rPr>
      </w:pPr>
    </w:p>
    <w:p w14:paraId="7A6A9E5E" w14:textId="77777777" w:rsidR="002F481B"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674A71C9" w14:textId="77777777" w:rsidR="002F481B" w:rsidRPr="00960720" w:rsidRDefault="002F481B" w:rsidP="002F481B">
      <w:pPr>
        <w:pStyle w:val="Corptext"/>
        <w:spacing w:after="0"/>
        <w:ind w:firstLine="763"/>
        <w:rPr>
          <w:rStyle w:val="tlid-translation"/>
          <w:rFonts w:ascii="Tahoma" w:hAnsi="Tahoma" w:cs="Tahoma"/>
        </w:rPr>
      </w:pPr>
    </w:p>
    <w:p w14:paraId="2DFC0CC1" w14:textId="77777777" w:rsidR="002F481B" w:rsidRPr="00960720" w:rsidRDefault="002F481B" w:rsidP="002F481B">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p w14:paraId="3B6F7C96" w14:textId="69712520" w:rsidR="000310A3" w:rsidRPr="000310A3" w:rsidRDefault="000310A3" w:rsidP="002F481B">
      <w:pPr>
        <w:pStyle w:val="Antet"/>
        <w:jc w:val="center"/>
        <w:rPr>
          <w:rFonts w:ascii="Times New Roman" w:hAnsi="Times New Roman" w:cs="Times New Roman"/>
          <w:sz w:val="24"/>
          <w:szCs w:val="24"/>
        </w:rPr>
      </w:pPr>
    </w:p>
    <w:sectPr w:rsidR="000310A3" w:rsidRPr="000310A3" w:rsidSect="00B74097">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809201815">
    <w:abstractNumId w:val="25"/>
  </w:num>
  <w:num w:numId="2" w16cid:durableId="5251605">
    <w:abstractNumId w:val="11"/>
  </w:num>
  <w:num w:numId="3" w16cid:durableId="226914255">
    <w:abstractNumId w:val="28"/>
  </w:num>
  <w:num w:numId="4" w16cid:durableId="76102867">
    <w:abstractNumId w:val="5"/>
  </w:num>
  <w:num w:numId="5" w16cid:durableId="1973290713">
    <w:abstractNumId w:val="3"/>
  </w:num>
  <w:num w:numId="6" w16cid:durableId="428039321">
    <w:abstractNumId w:val="30"/>
  </w:num>
  <w:num w:numId="7" w16cid:durableId="1847403419">
    <w:abstractNumId w:val="20"/>
  </w:num>
  <w:num w:numId="8" w16cid:durableId="555243124">
    <w:abstractNumId w:val="31"/>
  </w:num>
  <w:num w:numId="9" w16cid:durableId="12000006">
    <w:abstractNumId w:val="18"/>
  </w:num>
  <w:num w:numId="10" w16cid:durableId="167985093">
    <w:abstractNumId w:val="29"/>
  </w:num>
  <w:num w:numId="11" w16cid:durableId="516890962">
    <w:abstractNumId w:val="16"/>
  </w:num>
  <w:num w:numId="12" w16cid:durableId="256594675">
    <w:abstractNumId w:val="35"/>
  </w:num>
  <w:num w:numId="13" w16cid:durableId="171455363">
    <w:abstractNumId w:val="34"/>
  </w:num>
  <w:num w:numId="14" w16cid:durableId="1141390332">
    <w:abstractNumId w:val="0"/>
  </w:num>
  <w:num w:numId="15" w16cid:durableId="1091389346">
    <w:abstractNumId w:val="32"/>
  </w:num>
  <w:num w:numId="16" w16cid:durableId="1666591158">
    <w:abstractNumId w:val="19"/>
  </w:num>
  <w:num w:numId="17" w16cid:durableId="1346981613">
    <w:abstractNumId w:val="40"/>
  </w:num>
  <w:num w:numId="18" w16cid:durableId="1873573634">
    <w:abstractNumId w:val="39"/>
  </w:num>
  <w:num w:numId="19" w16cid:durableId="1687519123">
    <w:abstractNumId w:val="8"/>
  </w:num>
  <w:num w:numId="20" w16cid:durableId="2081634020">
    <w:abstractNumId w:val="37"/>
  </w:num>
  <w:num w:numId="21" w16cid:durableId="531695229">
    <w:abstractNumId w:val="21"/>
  </w:num>
  <w:num w:numId="22" w16cid:durableId="1120413073">
    <w:abstractNumId w:val="24"/>
  </w:num>
  <w:num w:numId="23" w16cid:durableId="1189414497">
    <w:abstractNumId w:val="15"/>
  </w:num>
  <w:num w:numId="24" w16cid:durableId="275602632">
    <w:abstractNumId w:val="12"/>
  </w:num>
  <w:num w:numId="25" w16cid:durableId="694692335">
    <w:abstractNumId w:val="9"/>
  </w:num>
  <w:num w:numId="26" w16cid:durableId="1200699557">
    <w:abstractNumId w:val="23"/>
  </w:num>
  <w:num w:numId="27" w16cid:durableId="1561287045">
    <w:abstractNumId w:val="7"/>
  </w:num>
  <w:num w:numId="28" w16cid:durableId="302539269">
    <w:abstractNumId w:val="38"/>
  </w:num>
  <w:num w:numId="29" w16cid:durableId="1513375033">
    <w:abstractNumId w:val="33"/>
  </w:num>
  <w:num w:numId="30" w16cid:durableId="1538933477">
    <w:abstractNumId w:val="2"/>
  </w:num>
  <w:num w:numId="31" w16cid:durableId="848563812">
    <w:abstractNumId w:val="22"/>
  </w:num>
  <w:num w:numId="32" w16cid:durableId="136533637">
    <w:abstractNumId w:val="17"/>
  </w:num>
  <w:num w:numId="33" w16cid:durableId="479736103">
    <w:abstractNumId w:val="6"/>
  </w:num>
  <w:num w:numId="34" w16cid:durableId="1469399737">
    <w:abstractNumId w:val="4"/>
  </w:num>
  <w:num w:numId="35" w16cid:durableId="43022497">
    <w:abstractNumId w:val="14"/>
  </w:num>
  <w:num w:numId="36" w16cid:durableId="1427388039">
    <w:abstractNumId w:val="13"/>
  </w:num>
  <w:num w:numId="37" w16cid:durableId="697436484">
    <w:abstractNumId w:val="26"/>
  </w:num>
  <w:num w:numId="38" w16cid:durableId="1910462106">
    <w:abstractNumId w:val="1"/>
  </w:num>
  <w:num w:numId="39" w16cid:durableId="1038118444">
    <w:abstractNumId w:val="10"/>
  </w:num>
  <w:num w:numId="40" w16cid:durableId="200242380">
    <w:abstractNumId w:val="36"/>
  </w:num>
  <w:num w:numId="41" w16cid:durableId="5147357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56EBC"/>
    <w:rsid w:val="00202A49"/>
    <w:rsid w:val="002F481B"/>
    <w:rsid w:val="00345E33"/>
    <w:rsid w:val="003755B3"/>
    <w:rsid w:val="00415F52"/>
    <w:rsid w:val="00445506"/>
    <w:rsid w:val="00594C85"/>
    <w:rsid w:val="005E167B"/>
    <w:rsid w:val="00634BB1"/>
    <w:rsid w:val="00656C05"/>
    <w:rsid w:val="007B3A9E"/>
    <w:rsid w:val="008C5D18"/>
    <w:rsid w:val="009E75B5"/>
    <w:rsid w:val="00A216CC"/>
    <w:rsid w:val="00AC06F1"/>
    <w:rsid w:val="00B625A3"/>
    <w:rsid w:val="00B74097"/>
    <w:rsid w:val="00BC76C6"/>
    <w:rsid w:val="00D03DA9"/>
    <w:rsid w:val="00D1335E"/>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2F481B"/>
  </w:style>
  <w:style w:type="character" w:customStyle="1" w:styleId="tlid-translation">
    <w:name w:val="tlid-translation"/>
    <w:rsid w:val="002F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3401</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2021-11-15T07:48:00Z</dcterms:created>
  <dcterms:modified xsi:type="dcterms:W3CDTF">2026-03-25T10:49:00Z</dcterms:modified>
</cp:coreProperties>
</file>